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2A2" w:rsidRPr="00E20762" w:rsidRDefault="00B222A2" w:rsidP="00CC4DAF">
      <w:pPr>
        <w:spacing w:after="0" w:line="240" w:lineRule="auto"/>
        <w:jc w:val="center"/>
        <w:rPr>
          <w:rFonts w:ascii="Times New Roman" w:hAnsi="Times New Roman"/>
          <w:sz w:val="28"/>
          <w:szCs w:val="28"/>
          <w:lang w:val="uk-UA"/>
        </w:rPr>
      </w:pPr>
      <w:r w:rsidRPr="00E20762">
        <w:rPr>
          <w:rFonts w:ascii="Times New Roman" w:hAnsi="Times New Roman"/>
          <w:sz w:val="28"/>
          <w:szCs w:val="28"/>
          <w:lang w:val="uk-UA"/>
        </w:rPr>
        <w:t>Аналіз регуляторного впливу</w:t>
      </w:r>
    </w:p>
    <w:p w:rsidR="00B222A2" w:rsidRPr="00E20762" w:rsidRDefault="00B222A2" w:rsidP="00CC4DAF">
      <w:pPr>
        <w:spacing w:after="0" w:line="240" w:lineRule="auto"/>
        <w:jc w:val="center"/>
        <w:rPr>
          <w:rFonts w:ascii="Times New Roman" w:hAnsi="Times New Roman"/>
          <w:sz w:val="28"/>
          <w:szCs w:val="28"/>
          <w:lang w:val="uk-UA"/>
        </w:rPr>
      </w:pPr>
      <w:r w:rsidRPr="00E20762">
        <w:rPr>
          <w:rFonts w:ascii="Times New Roman" w:hAnsi="Times New Roman"/>
          <w:sz w:val="28"/>
          <w:szCs w:val="28"/>
          <w:lang w:val="uk-UA"/>
        </w:rPr>
        <w:t xml:space="preserve">проекту рішення Лудинської сільської ради </w:t>
      </w:r>
      <w:r w:rsidRPr="00E20762">
        <w:rPr>
          <w:rFonts w:ascii="Times New Roman" w:hAnsi="Times New Roman"/>
          <w:sz w:val="28"/>
          <w:szCs w:val="28"/>
        </w:rPr>
        <w:t>«Про встановлення податку на нерухоме майно, відмінне від земельної ділянки»</w:t>
      </w:r>
    </w:p>
    <w:p w:rsidR="00B222A2" w:rsidRPr="00E20762" w:rsidRDefault="00B222A2" w:rsidP="00CC4DAF">
      <w:pPr>
        <w:spacing w:after="0" w:line="240" w:lineRule="auto"/>
        <w:jc w:val="center"/>
        <w:rPr>
          <w:rFonts w:ascii="Times New Roman" w:hAnsi="Times New Roman"/>
          <w:sz w:val="28"/>
          <w:szCs w:val="28"/>
        </w:rPr>
      </w:pP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Цей аналіз регуляторного впливу розроблений згідно повноважень органу місцевогосамоврядування відповідно до положень ст. 26,59 Закону України "Про місцевесамоврядування в Україні", ст.ст. 1,6,7,8,10,12,265,266,268 Податкового кодексу України,ст. ст. 1,5,8,12,33,34 Закону України "Про засади державної регуляторної політики у сферігосподарської діяльності", на виконання та дотримання вимог положень ст. ст.1,6,7,8,10,12 Податкового кодексу України, ст.ст. 1,5,8,12,33,34 Закону України "Прозасади державної регуляторної політики у сфері господарської діяльності", Постанови Кабінету Міністрів України №308 від 11.03.2004 р. «Про затвердження методик проведення аналізу впливу та відстеження результативності регуляторного акта».</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Рішення сесії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 "Про встановлення податку на нерухоме  майно, відмінне від земельної ділянки, затвердження положення про податок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   визначає правові, економічні, соціальні та організаційні засади щодо встановлення ставок податку на нерухоме майно, відмінне від земельної ділянки, затвердження положення про податок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 та спрямоване на дотримання вимог, встановлених законодавчими актами України.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1. Опис проблеми, яку планується розв’язати шляхом прийняття даного рішення</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Прийняття даного рішення – регуляторного акту має на меті врегулювання правовідносин, що виникають в процесі розрахунку (обчислення), затвердження, справляння податку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Регуляторний акт визначає права та обов’язки учасників правовідносин у сфері</w:t>
      </w:r>
      <w:r w:rsidRPr="00E20762">
        <w:rPr>
          <w:rFonts w:ascii="Times New Roman" w:hAnsi="Times New Roman"/>
          <w:sz w:val="28"/>
          <w:szCs w:val="28"/>
          <w:lang w:val="uk-UA"/>
        </w:rPr>
        <w:t>оподаткування діяльності юридичних та фізичних осіб на територій села, визначає комплекс заходів, необхідних для забезпечення порядку в сфері провадження, справляння податку на нерухоме майно, відмінне від земельної ділянки, на території села.</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2. Цілі державного регулювання</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Основною метою даного регулювання є створення сприятливих умов для розвитку</w:t>
      </w:r>
      <w:r w:rsidRPr="00E20762">
        <w:rPr>
          <w:rFonts w:ascii="Times New Roman" w:hAnsi="Times New Roman"/>
          <w:sz w:val="28"/>
          <w:szCs w:val="28"/>
          <w:lang w:val="uk-UA"/>
        </w:rPr>
        <w:t xml:space="preserve"> </w:t>
      </w:r>
      <w:r w:rsidRPr="00E20762">
        <w:rPr>
          <w:rFonts w:ascii="Times New Roman" w:hAnsi="Times New Roman"/>
          <w:sz w:val="28"/>
          <w:szCs w:val="28"/>
        </w:rPr>
        <w:t>інвестиційної діяльності, виконання вимог законодавчих та нормативних актів щодопорядку встановлення та справляння податку на нерухоме майно, відмінне від земельноїділянки.</w:t>
      </w:r>
    </w:p>
    <w:p w:rsidR="00B222A2" w:rsidRPr="00E20762" w:rsidRDefault="00B222A2" w:rsidP="00CC4DAF">
      <w:pPr>
        <w:spacing w:after="0" w:line="240" w:lineRule="auto"/>
        <w:jc w:val="both"/>
        <w:rPr>
          <w:rFonts w:ascii="Times New Roman" w:hAnsi="Times New Roman"/>
          <w:sz w:val="28"/>
          <w:szCs w:val="28"/>
          <w:lang w:val="uk-UA"/>
        </w:rPr>
      </w:pP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lang w:val="uk-UA"/>
        </w:rPr>
        <w:t>Зазначених цілей.</w:t>
      </w: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lang w:val="uk-UA"/>
        </w:rPr>
        <w:t xml:space="preserve"> Альтернатива відсутня. Згідно вимог Податкового кодексу України від 02.12.2010 року №2755-VІ введення в дію податку на нерухоме майно відмінного від земельної ділянки, запропоновані проектом рішення Лудинської сільської ради„Про податок на нерухоме майно відмінне від земельної ділянки” чітко визначені відповідно до вимог Податкового кодексу України є максимально прийнятними та економічно обґрунтованими.</w:t>
      </w: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lang w:val="uk-UA"/>
        </w:rPr>
        <w:t>Механізм розв’язання проблем</w:t>
      </w: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lang w:val="uk-UA"/>
        </w:rPr>
        <w:t>- визначення єдиних для всіх суб’єктів правовідносин умов, обмежень та порядку щодо справляння податку на нерухоме майно, відмінне від земельної ділянки, фізичних та юридичних осіб на території  Лудинської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контроль за сплатою податку на нерухоме майно, відмінне від земельної ділянки,</w:t>
      </w:r>
      <w:r w:rsidRPr="00E20762">
        <w:rPr>
          <w:rFonts w:ascii="Times New Roman" w:hAnsi="Times New Roman"/>
          <w:sz w:val="28"/>
          <w:szCs w:val="28"/>
          <w:lang w:val="uk-UA"/>
        </w:rPr>
        <w:t xml:space="preserve"> </w:t>
      </w:r>
      <w:r w:rsidRPr="00E20762">
        <w:rPr>
          <w:rFonts w:ascii="Times New Roman" w:hAnsi="Times New Roman"/>
          <w:sz w:val="28"/>
          <w:szCs w:val="28"/>
        </w:rPr>
        <w:t xml:space="preserve">фізичних та юридичних осіб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 врахування пропозицій та інтересів суб’єктів в процесі справляння податку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4. Механізм і заходи, які забезпечать розв'язання проблеми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Механізмом досягнення цілей регулювання є прийняття вказаного регуляторного акту.</w:t>
      </w: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rPr>
        <w:t xml:space="preserve">5. Вигоди та витрати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w:t>
      </w:r>
      <w:r w:rsidRPr="00E20762">
        <w:rPr>
          <w:rFonts w:ascii="Times New Roman" w:hAnsi="Times New Roman"/>
          <w:sz w:val="28"/>
          <w:szCs w:val="28"/>
          <w:lang w:val="uk-UA"/>
        </w:rPr>
        <w:t>ої</w:t>
      </w:r>
      <w:r w:rsidRPr="00E20762">
        <w:rPr>
          <w:rFonts w:ascii="Times New Roman" w:hAnsi="Times New Roman"/>
          <w:sz w:val="28"/>
          <w:szCs w:val="28"/>
        </w:rPr>
        <w:t xml:space="preserve"> рад</w:t>
      </w:r>
      <w:r w:rsidRPr="00E20762">
        <w:rPr>
          <w:rFonts w:ascii="Times New Roman" w:hAnsi="Times New Roman"/>
          <w:sz w:val="28"/>
          <w:szCs w:val="28"/>
          <w:lang w:val="uk-UA"/>
        </w:rPr>
        <w:t>и</w:t>
      </w: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lang w:val="uk-UA"/>
        </w:rPr>
        <w:t>Вигоди:</w:t>
      </w:r>
    </w:p>
    <w:p w:rsidR="00B222A2" w:rsidRPr="00E20762" w:rsidRDefault="00B222A2" w:rsidP="00CC4DAF">
      <w:pPr>
        <w:spacing w:after="0" w:line="240" w:lineRule="auto"/>
        <w:jc w:val="both"/>
        <w:rPr>
          <w:rFonts w:ascii="Times New Roman" w:hAnsi="Times New Roman"/>
          <w:sz w:val="28"/>
          <w:szCs w:val="28"/>
          <w:lang w:val="uk-UA"/>
        </w:rPr>
      </w:pPr>
      <w:r w:rsidRPr="00E20762">
        <w:rPr>
          <w:rFonts w:ascii="Times New Roman" w:hAnsi="Times New Roman"/>
          <w:sz w:val="28"/>
          <w:szCs w:val="28"/>
          <w:lang w:val="uk-UA"/>
        </w:rPr>
        <w:t>-дотримання фізичними та юридичними особами вимог законодавчих актів щодо справляння податку на нерухоме майно, відмінне від земельної ділянки, на території Лудинської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контроль надходжень до місцевого бюджету в частині місцевих податків та зборів;</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 встановлення єдиних для всіх суб’єктів правовідносин умов, обмежень та порядку щодо справляння податку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Суб’єкти – юридичні та фізичні особи: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Вигоди: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 можливість надання пропозицій стосовно розмірів податку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6. Очікувані результати прийняття регуляторного акту</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врегулювання правовідносин, що виникають в процесі розрахунку (обчислення),</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затвердження, справляння податку на нерухоме майно, відмінне від земельної ділянки,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збільшення надходжень до місцевого бюджету.</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контрольованість процесу оподаткування на місцевому рівні.</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7. Переваги обраного способу досягнення цілі</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дотримання вимог, встановлених нормами діючого законодавства України в сферіоподаткування.</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загальна доступність та участь громади при обговоренні даного проекту.</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вирішується проблема організації оподаткування юридичних та фізичних осіб на</w:t>
      </w:r>
      <w:r w:rsidRPr="00E20762">
        <w:rPr>
          <w:rFonts w:ascii="Times New Roman" w:hAnsi="Times New Roman"/>
          <w:sz w:val="28"/>
          <w:szCs w:val="28"/>
          <w:lang w:val="uk-UA"/>
        </w:rPr>
        <w:t xml:space="preserve"> </w:t>
      </w:r>
      <w:r w:rsidRPr="00E20762">
        <w:rPr>
          <w:rFonts w:ascii="Times New Roman" w:hAnsi="Times New Roman"/>
          <w:sz w:val="28"/>
          <w:szCs w:val="28"/>
        </w:rPr>
        <w:t>місцевому рівні.</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8. Обґрунтування строку чинності регуляторного акту</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Регуляторний акт приймається на необмежений строк, перегляд та внесення змін</w:t>
      </w:r>
      <w:r w:rsidRPr="00E20762">
        <w:rPr>
          <w:rFonts w:ascii="Times New Roman" w:hAnsi="Times New Roman"/>
          <w:sz w:val="28"/>
          <w:szCs w:val="28"/>
          <w:lang w:val="uk-UA"/>
        </w:rPr>
        <w:t xml:space="preserve"> </w:t>
      </w:r>
      <w:r w:rsidRPr="00E20762">
        <w:rPr>
          <w:rFonts w:ascii="Times New Roman" w:hAnsi="Times New Roman"/>
          <w:sz w:val="28"/>
          <w:szCs w:val="28"/>
        </w:rPr>
        <w:t>проводиться в разі потреби та внесенні змін до чинного законодавства.</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9. Показники результативності регуляторного акту</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Показники результативності регуляторного акту це:</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xml:space="preserve">- врегулювання правовідносин у сфері оподаткування фізичних та юридичних осіб на території  </w:t>
      </w:r>
      <w:r w:rsidRPr="00E20762">
        <w:rPr>
          <w:rFonts w:ascii="Times New Roman" w:hAnsi="Times New Roman"/>
          <w:sz w:val="28"/>
          <w:szCs w:val="28"/>
          <w:lang w:val="uk-UA"/>
        </w:rPr>
        <w:t>Лудинської</w:t>
      </w:r>
      <w:r w:rsidRPr="00E20762">
        <w:rPr>
          <w:rFonts w:ascii="Times New Roman" w:hAnsi="Times New Roman"/>
          <w:sz w:val="28"/>
          <w:szCs w:val="28"/>
        </w:rPr>
        <w:t xml:space="preserve">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збільшення сум надходжень до місцевого бюджету;</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контрольованість процесу оподаткування для суб’єктів– фізичних та юридичних осіб на  території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встановлення чіткого порядку розрахунку (обчислення), затвердження, справляння</w:t>
      </w:r>
      <w:r w:rsidRPr="00E20762">
        <w:rPr>
          <w:rFonts w:ascii="Times New Roman" w:hAnsi="Times New Roman"/>
          <w:sz w:val="28"/>
          <w:szCs w:val="28"/>
          <w:lang w:val="uk-UA"/>
        </w:rPr>
        <w:t xml:space="preserve"> </w:t>
      </w:r>
      <w:r w:rsidRPr="00E20762">
        <w:rPr>
          <w:rFonts w:ascii="Times New Roman" w:hAnsi="Times New Roman"/>
          <w:sz w:val="28"/>
          <w:szCs w:val="28"/>
        </w:rPr>
        <w:t>податку на нерухоме майно, відмінне від земельної ділянки, на території</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Привільненської сільської ради.</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10. Визначення показників результативності регуляторного акта в разі його прийняття</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Результативність прийняття даного регуляторного акту буде здійснюватися після</w:t>
      </w:r>
      <w:r w:rsidRPr="00E20762">
        <w:rPr>
          <w:rFonts w:ascii="Times New Roman" w:hAnsi="Times New Roman"/>
          <w:sz w:val="28"/>
          <w:szCs w:val="28"/>
          <w:lang w:val="uk-UA"/>
        </w:rPr>
        <w:t xml:space="preserve"> </w:t>
      </w:r>
      <w:r w:rsidRPr="00E20762">
        <w:rPr>
          <w:rFonts w:ascii="Times New Roman" w:hAnsi="Times New Roman"/>
          <w:sz w:val="28"/>
          <w:szCs w:val="28"/>
        </w:rPr>
        <w:t>набрання ним чинності. Строк проведення відстеження через один рік після набрання чинності даним актом.</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Зауваження та пропозиції до проекту регуляторного акту та аналізу його</w:t>
      </w:r>
      <w:r w:rsidRPr="00E20762">
        <w:rPr>
          <w:rFonts w:ascii="Times New Roman" w:hAnsi="Times New Roman"/>
          <w:sz w:val="28"/>
          <w:szCs w:val="28"/>
          <w:lang w:val="uk-UA"/>
        </w:rPr>
        <w:t xml:space="preserve"> </w:t>
      </w:r>
      <w:r w:rsidRPr="00E20762">
        <w:rPr>
          <w:rFonts w:ascii="Times New Roman" w:hAnsi="Times New Roman"/>
          <w:sz w:val="28"/>
          <w:szCs w:val="28"/>
        </w:rPr>
        <w:t>регуляторного впливу просимо надавати у письмовій формі:</w:t>
      </w:r>
      <w:r w:rsidRPr="00E20762">
        <w:rPr>
          <w:rFonts w:ascii="Times New Roman" w:hAnsi="Times New Roman"/>
          <w:sz w:val="28"/>
          <w:szCs w:val="28"/>
          <w:lang w:val="uk-UA"/>
        </w:rPr>
        <w:t xml:space="preserve"> Лудинська сільська рада с. Лудин вул Гостинець 26 </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rPr>
        <w:t>- поштою за адресою:</w:t>
      </w:r>
      <w:r w:rsidRPr="00E20762">
        <w:rPr>
          <w:rFonts w:ascii="Times New Roman" w:hAnsi="Times New Roman"/>
          <w:sz w:val="28"/>
          <w:szCs w:val="28"/>
          <w:lang w:val="uk-UA"/>
        </w:rPr>
        <w:t xml:space="preserve"> Лудинська сільська рада с. Лудин вул Гостинець 26 </w:t>
      </w:r>
    </w:p>
    <w:p w:rsidR="00B222A2" w:rsidRPr="00E20762" w:rsidRDefault="00B222A2" w:rsidP="00CC4DAF">
      <w:pPr>
        <w:spacing w:after="0" w:line="240" w:lineRule="auto"/>
        <w:jc w:val="both"/>
        <w:rPr>
          <w:rFonts w:ascii="Times New Roman" w:hAnsi="Times New Roman"/>
          <w:sz w:val="28"/>
          <w:szCs w:val="28"/>
        </w:rPr>
      </w:pPr>
      <w:r w:rsidRPr="00E20762">
        <w:rPr>
          <w:rFonts w:ascii="Times New Roman" w:hAnsi="Times New Roman"/>
          <w:sz w:val="28"/>
          <w:szCs w:val="28"/>
          <w:lang w:val="uk-UA"/>
        </w:rPr>
        <w:t>сЛудин вул. гостинець 26 Володимир-Волинського району Волинської області  або на сайті Володимир-Волинської районної державної адміністрації</w:t>
      </w:r>
    </w:p>
    <w:p w:rsidR="00B222A2" w:rsidRDefault="00B222A2" w:rsidP="00CC4DAF">
      <w:pPr>
        <w:spacing w:after="0" w:line="240" w:lineRule="auto"/>
        <w:jc w:val="both"/>
        <w:rPr>
          <w:rFonts w:ascii="Times New Roman" w:hAnsi="Times New Roman"/>
          <w:sz w:val="28"/>
          <w:szCs w:val="28"/>
          <w:lang w:val="uk-UA"/>
        </w:rPr>
      </w:pPr>
    </w:p>
    <w:p w:rsidR="00B222A2" w:rsidRPr="00E20762" w:rsidRDefault="00B222A2" w:rsidP="00CC4DA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Сільський </w:t>
      </w:r>
      <w:r w:rsidRPr="00E20762">
        <w:rPr>
          <w:rFonts w:ascii="Times New Roman" w:hAnsi="Times New Roman"/>
          <w:sz w:val="28"/>
          <w:szCs w:val="28"/>
          <w:lang w:val="uk-UA"/>
        </w:rPr>
        <w:t xml:space="preserve">голова                                               </w:t>
      </w:r>
      <w:r>
        <w:rPr>
          <w:rFonts w:ascii="Times New Roman" w:hAnsi="Times New Roman"/>
          <w:sz w:val="28"/>
          <w:szCs w:val="28"/>
          <w:lang w:val="uk-UA"/>
        </w:rPr>
        <w:t xml:space="preserve">                          </w:t>
      </w:r>
      <w:r w:rsidRPr="00E20762">
        <w:rPr>
          <w:rFonts w:ascii="Times New Roman" w:hAnsi="Times New Roman"/>
          <w:sz w:val="28"/>
          <w:szCs w:val="28"/>
          <w:lang w:val="uk-UA"/>
        </w:rPr>
        <w:t>А.І.Ниткитюк</w:t>
      </w:r>
    </w:p>
    <w:p w:rsidR="00B222A2" w:rsidRPr="00E20762" w:rsidRDefault="00B222A2" w:rsidP="00CC4DAF">
      <w:pPr>
        <w:spacing w:after="0" w:line="240" w:lineRule="auto"/>
        <w:jc w:val="both"/>
        <w:rPr>
          <w:rFonts w:ascii="Times New Roman" w:hAnsi="Times New Roman"/>
          <w:sz w:val="28"/>
          <w:szCs w:val="28"/>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rsidP="00CC4DAF">
      <w:pPr>
        <w:spacing w:after="0" w:line="240" w:lineRule="auto"/>
        <w:jc w:val="both"/>
        <w:rPr>
          <w:rFonts w:ascii="Times New Roman" w:hAnsi="Times New Roman"/>
          <w:sz w:val="28"/>
          <w:szCs w:val="28"/>
          <w:lang w:val="uk-UA"/>
        </w:rPr>
      </w:pPr>
    </w:p>
    <w:p w:rsidR="00B222A2" w:rsidRDefault="00B222A2"/>
    <w:sectPr w:rsidR="00B222A2" w:rsidSect="005C0B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4DAF"/>
    <w:rsid w:val="000B7619"/>
    <w:rsid w:val="005C0BFC"/>
    <w:rsid w:val="006D6CF6"/>
    <w:rsid w:val="009B24E6"/>
    <w:rsid w:val="00B222A2"/>
    <w:rsid w:val="00CC4DAF"/>
    <w:rsid w:val="00E207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DA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966</Words>
  <Characters>5509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dc:title>
  <dc:subject/>
  <dc:creator>Admin</dc:creator>
  <cp:keywords/>
  <dc:description/>
  <cp:lastModifiedBy>www.PHILka.RU</cp:lastModifiedBy>
  <cp:revision>2</cp:revision>
  <dcterms:created xsi:type="dcterms:W3CDTF">2014-01-28T12:15:00Z</dcterms:created>
  <dcterms:modified xsi:type="dcterms:W3CDTF">2014-01-28T12:15:00Z</dcterms:modified>
</cp:coreProperties>
</file>